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4E" w:rsidRPr="00906323" w:rsidRDefault="0087524A" w:rsidP="002B5B80">
      <w:pPr>
        <w:jc w:val="right"/>
        <w:rPr>
          <w:rFonts w:ascii="Cambria" w:hAnsi="Cambria" w:cs="Tahoma"/>
        </w:rPr>
      </w:pPr>
      <w:r w:rsidRPr="00906323">
        <w:rPr>
          <w:rFonts w:ascii="Cambria" w:hAnsi="Cambria" w:cs="Tahoma"/>
        </w:rPr>
        <w:t>T</w:t>
      </w:r>
      <w:r w:rsidR="00FC5536" w:rsidRPr="00906323">
        <w:rPr>
          <w:rFonts w:ascii="Cambria" w:hAnsi="Cambria" w:cs="Tahoma"/>
        </w:rPr>
        <w:t xml:space="preserve">omaszów Mazowiecki, </w:t>
      </w:r>
      <w:r w:rsidR="007A1B93" w:rsidRPr="00906323">
        <w:rPr>
          <w:rFonts w:ascii="Cambria" w:hAnsi="Cambria" w:cs="Tahoma"/>
        </w:rPr>
        <w:t xml:space="preserve">dnia </w:t>
      </w:r>
      <w:r w:rsidR="000A2F11">
        <w:rPr>
          <w:rFonts w:ascii="Cambria" w:hAnsi="Cambria" w:cs="Tahoma"/>
        </w:rPr>
        <w:t>07.07.2022 r.</w:t>
      </w:r>
      <w:bookmarkStart w:id="0" w:name="_GoBack"/>
      <w:bookmarkEnd w:id="0"/>
    </w:p>
    <w:p w:rsidR="00BB444E" w:rsidRPr="00906323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:rsidR="00F0309C" w:rsidRPr="00906323" w:rsidRDefault="00F0309C" w:rsidP="00F0309C">
      <w:pPr>
        <w:spacing w:after="0" w:line="240" w:lineRule="auto"/>
        <w:jc w:val="right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87524A" w:rsidRPr="00906323" w:rsidRDefault="0087524A" w:rsidP="00357D10">
      <w:pPr>
        <w:spacing w:line="240" w:lineRule="auto"/>
        <w:jc w:val="both"/>
        <w:rPr>
          <w:rFonts w:ascii="Cambria" w:hAnsi="Cambria" w:cs="Tahoma"/>
          <w:b/>
        </w:rPr>
      </w:pPr>
    </w:p>
    <w:p w:rsidR="0040436B" w:rsidRPr="00906323" w:rsidRDefault="0087524A" w:rsidP="00906323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>N</w:t>
      </w:r>
      <w:r w:rsidR="001D1B47" w:rsidRPr="00906323">
        <w:rPr>
          <w:rFonts w:ascii="Cambria" w:hAnsi="Cambria" w:cs="Tahoma"/>
          <w:b/>
        </w:rPr>
        <w:t>umer postępowania: WRIK.271.1.32</w:t>
      </w:r>
      <w:r w:rsidR="008C2231" w:rsidRPr="00906323">
        <w:rPr>
          <w:rFonts w:ascii="Cambria" w:hAnsi="Cambria" w:cs="Tahoma"/>
          <w:b/>
        </w:rPr>
        <w:t>.2022</w:t>
      </w:r>
      <w:r w:rsidRPr="00906323">
        <w:rPr>
          <w:rFonts w:ascii="Cambria" w:hAnsi="Cambria" w:cs="Tahoma"/>
          <w:b/>
        </w:rPr>
        <w:t>.ZP</w:t>
      </w:r>
    </w:p>
    <w:p w:rsidR="0040436B" w:rsidRPr="00906323" w:rsidRDefault="0040436B" w:rsidP="00357D10">
      <w:pPr>
        <w:spacing w:after="0" w:line="240" w:lineRule="auto"/>
        <w:rPr>
          <w:rFonts w:ascii="Cambria" w:hAnsi="Cambria" w:cs="ArialMT"/>
          <w:b/>
        </w:rPr>
      </w:pPr>
      <w:r w:rsidRPr="00906323">
        <w:rPr>
          <w:rFonts w:ascii="Cambria" w:hAnsi="Cambria" w:cs="ArialMT"/>
          <w:b/>
        </w:rPr>
        <w:t>Ogłoszenie nr 2022/BZP 00220186/01 z dnia 2022-06-23</w:t>
      </w:r>
    </w:p>
    <w:p w:rsidR="003F6A65" w:rsidRPr="00906323" w:rsidRDefault="0087524A" w:rsidP="00BB444E">
      <w:pPr>
        <w:spacing w:after="0" w:line="240" w:lineRule="auto"/>
        <w:rPr>
          <w:rFonts w:ascii="Cambria" w:hAnsi="Cambria" w:cs="Tahoma"/>
          <w:b/>
        </w:rPr>
      </w:pPr>
      <w:r w:rsidRPr="00906323">
        <w:rPr>
          <w:rFonts w:ascii="Cambria" w:hAnsi="Cambria" w:cs="Tahoma"/>
          <w:b/>
        </w:rPr>
        <w:t xml:space="preserve">ID - </w:t>
      </w:r>
      <w:proofErr w:type="spellStart"/>
      <w:r w:rsidRPr="00906323">
        <w:rPr>
          <w:rFonts w:ascii="Cambria" w:hAnsi="Cambria" w:cs="Tahoma"/>
          <w:b/>
        </w:rPr>
        <w:t>miniportal</w:t>
      </w:r>
      <w:proofErr w:type="spellEnd"/>
      <w:r w:rsidRPr="00906323">
        <w:rPr>
          <w:rFonts w:ascii="Cambria" w:hAnsi="Cambria" w:cs="Tahoma"/>
          <w:b/>
        </w:rPr>
        <w:t xml:space="preserve">: </w:t>
      </w:r>
      <w:r w:rsidR="00EB7027" w:rsidRPr="00906323">
        <w:rPr>
          <w:rFonts w:ascii="Cambria" w:hAnsi="Cambria"/>
          <w:b/>
        </w:rPr>
        <w:t>142670ad-2309-4321-920b-367c6a0d8864</w:t>
      </w:r>
    </w:p>
    <w:p w:rsidR="00BB444E" w:rsidRPr="00906323" w:rsidRDefault="00BB444E" w:rsidP="00BB444E">
      <w:pPr>
        <w:spacing w:after="0" w:line="240" w:lineRule="auto"/>
        <w:rPr>
          <w:rFonts w:ascii="Cambria" w:hAnsi="Cambria" w:cs="Tahoma"/>
          <w:b/>
        </w:rPr>
      </w:pPr>
    </w:p>
    <w:p w:rsidR="001D1B47" w:rsidRPr="00906323" w:rsidRDefault="0087524A" w:rsidP="001D1B47">
      <w:pPr>
        <w:spacing w:after="0" w:line="240" w:lineRule="auto"/>
        <w:jc w:val="both"/>
        <w:rPr>
          <w:rFonts w:ascii="Cambria" w:hAnsi="Cambria" w:cs="Tahoma"/>
          <w:b/>
        </w:rPr>
      </w:pPr>
      <w:r w:rsidRPr="00906323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906323">
        <w:rPr>
          <w:rFonts w:ascii="Cambria" w:hAnsi="Cambria" w:cs="Tahoma"/>
          <w:b/>
        </w:rPr>
        <w:t xml:space="preserve">: </w:t>
      </w:r>
      <w:r w:rsidR="008F4315" w:rsidRPr="00906323">
        <w:rPr>
          <w:rFonts w:ascii="Cambria" w:hAnsi="Cambria" w:cs="Tahoma"/>
          <w:b/>
        </w:rPr>
        <w:t xml:space="preserve">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Budowa Żłobka przy ul. Kombatantów 5 w Tomaszowie Mazowieckim - w ramach zadania pn.</w:t>
      </w:r>
      <w:r w:rsidR="001D1B47" w:rsidRPr="00906323">
        <w:rPr>
          <w:rFonts w:ascii="Cambria" w:hAnsi="Cambria" w:cs="Tahoma"/>
          <w:b/>
        </w:rPr>
        <w:t xml:space="preserve"> </w:t>
      </w:r>
      <w:r w:rsidR="001D1B47" w:rsidRPr="00906323">
        <w:rPr>
          <w:rFonts w:ascii="Cambria" w:hAnsi="Cambria" w:cs="Calibri"/>
          <w:b/>
          <w:bCs/>
          <w:color w:val="0070C0"/>
          <w:lang w:eastAsia="pl-PL"/>
        </w:rPr>
        <w:t>„Adaptacja dokumentacji projektowej żłobka publicznego w lokalizacji przy ul. Kombatantów wraz z budową Żłobka”.</w:t>
      </w:r>
    </w:p>
    <w:p w:rsidR="007F0651" w:rsidRPr="00906323" w:rsidRDefault="007F0651" w:rsidP="002B5B80">
      <w:pPr>
        <w:spacing w:after="0" w:line="240" w:lineRule="auto"/>
        <w:rPr>
          <w:rFonts w:ascii="Cambria" w:eastAsia="Calibri" w:hAnsi="Cambria" w:cs="Tahoma"/>
          <w:b/>
        </w:rPr>
      </w:pPr>
    </w:p>
    <w:p w:rsidR="00F0309C" w:rsidRPr="00906323" w:rsidRDefault="00F0309C" w:rsidP="007F0651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906323">
        <w:rPr>
          <w:rFonts w:ascii="Cambria" w:eastAsia="Calibri" w:hAnsi="Cambria" w:cs="Tahoma"/>
          <w:b/>
        </w:rPr>
        <w:t>PYTANIE WYKONAWCY WRAZ Z ODPOWIEDZIĄ</w:t>
      </w:r>
    </w:p>
    <w:p w:rsidR="00F0309C" w:rsidRPr="00906323" w:rsidRDefault="00F0309C" w:rsidP="007F0651">
      <w:pPr>
        <w:spacing w:after="0" w:line="240" w:lineRule="auto"/>
        <w:jc w:val="both"/>
        <w:rPr>
          <w:rFonts w:ascii="Cambria" w:eastAsia="Calibri" w:hAnsi="Cambria" w:cs="Tahoma"/>
          <w:b/>
        </w:rPr>
      </w:pPr>
    </w:p>
    <w:p w:rsidR="0087524A" w:rsidRPr="00906323" w:rsidRDefault="00F0309C" w:rsidP="007F0651">
      <w:pPr>
        <w:spacing w:line="276" w:lineRule="auto"/>
        <w:ind w:firstLine="708"/>
        <w:jc w:val="both"/>
        <w:rPr>
          <w:rFonts w:ascii="Cambria" w:eastAsia="Calibri" w:hAnsi="Cambria" w:cs="Tahoma"/>
        </w:rPr>
      </w:pPr>
      <w:r w:rsidRPr="00906323">
        <w:rPr>
          <w:rFonts w:ascii="Cambria" w:eastAsia="Calibri" w:hAnsi="Cambria" w:cs="Tahoma"/>
        </w:rPr>
        <w:t xml:space="preserve">W imieniu Zamawiającego jakim jest Gmina Miasto Tomaszów Mazowiecki w związku               </w:t>
      </w:r>
      <w:r w:rsidRPr="00906323">
        <w:rPr>
          <w:rFonts w:ascii="Cambria" w:hAnsi="Cambria" w:cs="Tahoma"/>
        </w:rPr>
        <w:t xml:space="preserve">                  </w:t>
      </w:r>
      <w:r w:rsidRPr="00906323">
        <w:rPr>
          <w:rFonts w:ascii="Cambria" w:eastAsia="Calibri" w:hAnsi="Cambria" w:cs="Tahoma"/>
        </w:rPr>
        <w:t>z wpływem zapytań do niniejszego postępowania mając na względzie art. 284 ust. 2 i 6 ustawy Prawo zamówień publicznych, udzielam wyjaśnień bez ujawnienia źródła zapytania zamieszczając je na stronie internetowej prowadzonego postępowania.</w:t>
      </w:r>
    </w:p>
    <w:p w:rsidR="007F0651" w:rsidRPr="00906323" w:rsidRDefault="00A32F32" w:rsidP="00285157">
      <w:pPr>
        <w:spacing w:after="0" w:line="24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PYTANIA NR 6 (WPŁYW 06.07.2022 r., godz. 08:36</w:t>
      </w:r>
      <w:r w:rsidR="007F0651" w:rsidRPr="00906323">
        <w:rPr>
          <w:rFonts w:ascii="Cambria" w:hAnsi="Cambria"/>
          <w:b/>
          <w:u w:val="single"/>
        </w:rPr>
        <w:t>)</w:t>
      </w:r>
    </w:p>
    <w:p w:rsidR="00285157" w:rsidRPr="00A32F32" w:rsidRDefault="00285157" w:rsidP="0028515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1.     Wnosimy o zmianę wykonania technologii tynków wewnętrznych z tynku mineralnego na bazie wapna na tynk gipsowy. Z naszego doświadczenia wynika, że tynki mineralne na bazie wapna lepiej nadają się jako tynki wierzchnie. Zastosowanie ich jako tynk bazowy skutkować może reklamacjami i uciążliwościami dla Zamawiającego i Użytkownika obiektu. </w:t>
      </w:r>
    </w:p>
    <w:p w:rsidR="00A32F32" w:rsidRPr="00A32F32" w:rsidRDefault="00A32F32" w:rsidP="00A32F32">
      <w:pPr>
        <w:rPr>
          <w:rFonts w:ascii="Cambria" w:hAnsi="Cambria"/>
          <w:b/>
          <w:u w:val="single"/>
        </w:rPr>
      </w:pPr>
      <w:r w:rsidRPr="00A32F32">
        <w:rPr>
          <w:rFonts w:ascii="Cambria" w:hAnsi="Cambria"/>
          <w:b/>
          <w:u w:val="single"/>
        </w:rPr>
        <w:t>ODPOWIEDŹ:</w:t>
      </w:r>
    </w:p>
    <w:p w:rsidR="00A32F32" w:rsidRPr="00A32F32" w:rsidRDefault="00A32F32" w:rsidP="00A32F32">
      <w:pPr>
        <w:rPr>
          <w:rFonts w:ascii="Cambria" w:hAnsi="Cambria"/>
          <w:color w:val="0070C0"/>
        </w:rPr>
      </w:pPr>
      <w:r w:rsidRPr="00A32F32">
        <w:rPr>
          <w:rFonts w:ascii="Cambria" w:hAnsi="Cambria"/>
          <w:color w:val="0070C0"/>
        </w:rPr>
        <w:t>Zamawiający dopuszcza do wyceny oraz do zastosowania tynk gipsowy. 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2. W części dotyczącej opisu systemu ocieplenia widnieją następujące wymagania dotyczące zaprawy klejowej: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>"przyczepność zaprawy do betonu (</w:t>
      </w:r>
      <w:proofErr w:type="spellStart"/>
      <w:r w:rsidRPr="00A32F32">
        <w:rPr>
          <w:rFonts w:ascii="Cambria" w:hAnsi="Cambria"/>
        </w:rPr>
        <w:t>MPa</w:t>
      </w:r>
      <w:proofErr w:type="spellEnd"/>
      <w:r w:rsidRPr="00A32F32">
        <w:rPr>
          <w:rFonts w:ascii="Cambria" w:hAnsi="Cambria"/>
        </w:rPr>
        <w:t xml:space="preserve">):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w stanie powietrzno-suchym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≥ 1,5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po 2 dniach zanurzenia w wodzie i po 2 h suszenia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≥ 1,0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po 2 dniach zanurzenia w wodzie i po 7 dniach suszenia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≥ 1,5"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> 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Wg naszej wiedzy żadna z zapraw dostępnych na rynku nie spełnia powyższych właściwości. Wnosimy o zmianę powyższych wartości na następujące: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w stanie powietrzno-suchym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≥ 0,25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 po 2 dniach zanurzenia w wodzie i po 2 h suszenia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lastRenderedPageBreak/>
        <w:t xml:space="preserve"> ≥ 0,08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po 2 dniach zanurzenia w wodzie i po 7 dniach suszenia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≥ 0,25 </w:t>
      </w: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 xml:space="preserve">Są to minimalne wymogi, które musi spełnić każdy klej. </w:t>
      </w:r>
    </w:p>
    <w:p w:rsidR="00A32F32" w:rsidRPr="00A32F32" w:rsidRDefault="00A32F32" w:rsidP="00A32F32">
      <w:pPr>
        <w:rPr>
          <w:rFonts w:ascii="Cambria" w:hAnsi="Cambria"/>
          <w:b/>
          <w:u w:val="single"/>
        </w:rPr>
      </w:pPr>
      <w:r w:rsidRPr="00A32F32">
        <w:rPr>
          <w:rFonts w:ascii="Cambria" w:hAnsi="Cambria"/>
          <w:b/>
          <w:u w:val="single"/>
        </w:rPr>
        <w:t>ODPOWIEDŹ:</w:t>
      </w:r>
    </w:p>
    <w:p w:rsidR="00A32F32" w:rsidRPr="00A32F32" w:rsidRDefault="00A32F32" w:rsidP="00A32F32">
      <w:pPr>
        <w:rPr>
          <w:rFonts w:ascii="Cambria" w:hAnsi="Cambria"/>
          <w:color w:val="0070C0"/>
        </w:rPr>
      </w:pPr>
      <w:r w:rsidRPr="00A32F32">
        <w:rPr>
          <w:rFonts w:ascii="Cambria" w:hAnsi="Cambria"/>
          <w:color w:val="0070C0"/>
        </w:rPr>
        <w:t>Z</w:t>
      </w:r>
      <w:r>
        <w:rPr>
          <w:rFonts w:ascii="Cambria" w:hAnsi="Cambria"/>
          <w:color w:val="0070C0"/>
        </w:rPr>
        <w:t xml:space="preserve">amawiający dopuszcza wymagania </w:t>
      </w:r>
      <w:r w:rsidRPr="00A32F32">
        <w:rPr>
          <w:rFonts w:ascii="Cambria" w:hAnsi="Cambria"/>
          <w:color w:val="0070C0"/>
        </w:rPr>
        <w:t>zaprawy klejowej o minimalnych poniższych wartościach: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0"/>
        <w:gridCol w:w="2115"/>
      </w:tblGrid>
      <w:tr w:rsidR="00A32F32" w:rsidRPr="00A32F32" w:rsidTr="00E9717E">
        <w:trPr>
          <w:tblCellSpacing w:w="15" w:type="dxa"/>
        </w:trPr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F32" w:rsidRPr="00A32F32" w:rsidRDefault="00A32F32" w:rsidP="00E9717E">
            <w:pPr>
              <w:rPr>
                <w:rFonts w:ascii="Cambria" w:hAnsi="Cambria"/>
                <w:color w:val="0070C0"/>
              </w:rPr>
            </w:pPr>
            <w:r w:rsidRPr="00A32F32">
              <w:rPr>
                <w:rFonts w:ascii="Cambria" w:hAnsi="Cambria"/>
                <w:color w:val="0070C0"/>
              </w:rPr>
              <w:t>w stanie powietrzno-suchym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F32" w:rsidRPr="00A32F32" w:rsidRDefault="00A32F32" w:rsidP="00E9717E">
            <w:pPr>
              <w:rPr>
                <w:rFonts w:ascii="Cambria" w:hAnsi="Cambria"/>
                <w:color w:val="0070C0"/>
              </w:rPr>
            </w:pPr>
            <w:r w:rsidRPr="00A32F32">
              <w:rPr>
                <w:rFonts w:ascii="Cambria" w:hAnsi="Cambria"/>
                <w:color w:val="0070C0"/>
              </w:rPr>
              <w:t>≥ 0,25 </w:t>
            </w:r>
          </w:p>
        </w:tc>
      </w:tr>
      <w:tr w:rsidR="00A32F32" w:rsidRPr="00A32F32" w:rsidTr="00E9717E">
        <w:trPr>
          <w:tblCellSpacing w:w="15" w:type="dxa"/>
        </w:trPr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F32" w:rsidRPr="00A32F32" w:rsidRDefault="00A32F32" w:rsidP="00E9717E">
            <w:pPr>
              <w:rPr>
                <w:rFonts w:ascii="Cambria" w:hAnsi="Cambria"/>
                <w:color w:val="0070C0"/>
              </w:rPr>
            </w:pPr>
            <w:r w:rsidRPr="00A32F32">
              <w:rPr>
                <w:rFonts w:ascii="Cambria" w:hAnsi="Cambria"/>
                <w:color w:val="0070C0"/>
              </w:rPr>
              <w:t>po 2 dniach zanurzenia w wodzie i po 2 h suszenia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F32" w:rsidRPr="00A32F32" w:rsidRDefault="00A32F32" w:rsidP="00E9717E">
            <w:pPr>
              <w:rPr>
                <w:rFonts w:ascii="Cambria" w:hAnsi="Cambria"/>
                <w:color w:val="0070C0"/>
              </w:rPr>
            </w:pPr>
            <w:r w:rsidRPr="00A32F32">
              <w:rPr>
                <w:rFonts w:ascii="Cambria" w:hAnsi="Cambria"/>
                <w:color w:val="0070C0"/>
              </w:rPr>
              <w:t>≥ 0,08 </w:t>
            </w:r>
          </w:p>
        </w:tc>
      </w:tr>
      <w:tr w:rsidR="00A32F32" w:rsidRPr="00A32F32" w:rsidTr="00E9717E">
        <w:trPr>
          <w:tblCellSpacing w:w="15" w:type="dxa"/>
        </w:trPr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F32" w:rsidRPr="00A32F32" w:rsidRDefault="00A32F32" w:rsidP="00E9717E">
            <w:pPr>
              <w:rPr>
                <w:rFonts w:ascii="Cambria" w:hAnsi="Cambria"/>
                <w:color w:val="0070C0"/>
              </w:rPr>
            </w:pPr>
            <w:r w:rsidRPr="00A32F32">
              <w:rPr>
                <w:rFonts w:ascii="Cambria" w:hAnsi="Cambria"/>
                <w:color w:val="0070C0"/>
              </w:rPr>
              <w:t>po 2 dniach zanurzenia w wodzie i po 7 dniach suszenia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2F32" w:rsidRPr="00A32F32" w:rsidRDefault="00A32F32" w:rsidP="00E9717E">
            <w:pPr>
              <w:rPr>
                <w:rFonts w:ascii="Cambria" w:hAnsi="Cambria"/>
                <w:color w:val="0070C0"/>
              </w:rPr>
            </w:pPr>
            <w:r w:rsidRPr="00A32F32">
              <w:rPr>
                <w:rFonts w:ascii="Cambria" w:hAnsi="Cambria"/>
                <w:color w:val="0070C0"/>
              </w:rPr>
              <w:t>≥ 0,25 </w:t>
            </w:r>
          </w:p>
        </w:tc>
      </w:tr>
    </w:tbl>
    <w:p w:rsidR="00A32F32" w:rsidRDefault="00A32F32" w:rsidP="00A32F32">
      <w:pPr>
        <w:rPr>
          <w:rFonts w:ascii="Cambria" w:hAnsi="Cambria"/>
        </w:rPr>
      </w:pPr>
    </w:p>
    <w:p w:rsidR="00A32F32" w:rsidRPr="00A32F32" w:rsidRDefault="00A32F32" w:rsidP="00A32F32">
      <w:pPr>
        <w:rPr>
          <w:rFonts w:ascii="Cambria" w:hAnsi="Cambria"/>
        </w:rPr>
      </w:pPr>
      <w:r w:rsidRPr="00A32F32">
        <w:rPr>
          <w:rFonts w:ascii="Cambria" w:hAnsi="Cambria"/>
        </w:rPr>
        <w:t>3. Prosimy o zmianę wymogu odporności na uderzenie po starzeniu w części dotyczącej systemu ocieplenia z 50 J na 15 J przy zachowaniu pozostałych parametrów. Pozwoli to na zwiększenie konkurencyjności producentów bez uszczerbku dla jakości elewacji.</w:t>
      </w:r>
    </w:p>
    <w:p w:rsidR="00A32F32" w:rsidRDefault="00A32F32" w:rsidP="00A32F32">
      <w:pPr>
        <w:rPr>
          <w:rFonts w:ascii="Cambria" w:hAnsi="Cambria"/>
          <w:b/>
          <w:u w:val="single"/>
        </w:rPr>
      </w:pPr>
      <w:r w:rsidRPr="00A32F32">
        <w:rPr>
          <w:rFonts w:ascii="Cambria" w:hAnsi="Cambria"/>
          <w:b/>
          <w:u w:val="single"/>
        </w:rPr>
        <w:t>ODPOWIEDŹ:</w:t>
      </w:r>
    </w:p>
    <w:p w:rsidR="00A32F32" w:rsidRPr="00A32F32" w:rsidRDefault="00A32F32" w:rsidP="00A32F32">
      <w:pPr>
        <w:jc w:val="both"/>
        <w:rPr>
          <w:rFonts w:ascii="Cambria" w:hAnsi="Cambria"/>
          <w:b/>
          <w:color w:val="0070C0"/>
          <w:u w:val="single"/>
        </w:rPr>
      </w:pPr>
      <w:r w:rsidRPr="00A32F32">
        <w:rPr>
          <w:rFonts w:ascii="Cambria" w:hAnsi="Cambria"/>
          <w:color w:val="0070C0"/>
        </w:rPr>
        <w:t>Do wyceny należy przyjąć i zastosować system ocieplenia o wymogu odporności na uderzenie po starzeniu minimum 15 J. Pozostałe parametry bez zmian.</w:t>
      </w:r>
    </w:p>
    <w:p w:rsidR="007A1CCA" w:rsidRPr="00A32F32" w:rsidRDefault="007A1CCA" w:rsidP="00285157">
      <w:pPr>
        <w:spacing w:after="0" w:line="240" w:lineRule="auto"/>
        <w:jc w:val="both"/>
        <w:rPr>
          <w:rFonts w:ascii="Cambria" w:eastAsia="Times New Roman" w:hAnsi="Cambria" w:cs="Tahoma"/>
          <w:b/>
          <w:i/>
          <w:lang w:eastAsia="pl-PL"/>
        </w:rPr>
      </w:pPr>
    </w:p>
    <w:p w:rsidR="0087524A" w:rsidRPr="00A32F32" w:rsidRDefault="00F0309C" w:rsidP="002B5B80">
      <w:pPr>
        <w:spacing w:after="0" w:line="240" w:lineRule="auto"/>
        <w:jc w:val="both"/>
        <w:rPr>
          <w:rFonts w:ascii="Cambria" w:eastAsia="Times New Roman" w:hAnsi="Cambria" w:cs="Tahoma"/>
          <w:b/>
          <w:lang w:eastAsia="pl-PL"/>
        </w:rPr>
      </w:pPr>
      <w:r w:rsidRPr="00A32F32">
        <w:rPr>
          <w:rFonts w:ascii="Cambria" w:eastAsia="Times New Roman" w:hAnsi="Cambria" w:cs="Tahoma"/>
          <w:b/>
          <w:lang w:eastAsia="pl-PL"/>
        </w:rPr>
        <w:t>Udzielone wyjaśnienia są wiążące dla wykonawców.</w:t>
      </w:r>
    </w:p>
    <w:p w:rsidR="005C61A5" w:rsidRPr="00A32F32" w:rsidRDefault="005C61A5" w:rsidP="00285157">
      <w:pPr>
        <w:jc w:val="both"/>
        <w:rPr>
          <w:rFonts w:ascii="Cambria" w:hAnsi="Cambria"/>
        </w:rPr>
      </w:pPr>
    </w:p>
    <w:sectPr w:rsidR="005C61A5" w:rsidRPr="00A32F32" w:rsidSect="002B5B80">
      <w:headerReference w:type="default" r:id="rId7"/>
      <w:footerReference w:type="default" r:id="rId8"/>
      <w:pgSz w:w="11906" w:h="16838"/>
      <w:pgMar w:top="426" w:right="1417" w:bottom="851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BE9" w:rsidRDefault="005C3BE9" w:rsidP="005C61A5">
      <w:pPr>
        <w:spacing w:after="0" w:line="240" w:lineRule="auto"/>
      </w:pPr>
      <w:r>
        <w:separator/>
      </w:r>
    </w:p>
  </w:endnote>
  <w:endnote w:type="continuationSeparator" w:id="0">
    <w:p w:rsidR="005C3BE9" w:rsidRDefault="005C3BE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3525222"/>
      <w:docPartObj>
        <w:docPartGallery w:val="Page Numbers (Bottom of Page)"/>
        <w:docPartUnique/>
      </w:docPartObj>
    </w:sdtPr>
    <w:sdtEndPr/>
    <w:sdtContent>
      <w:p w:rsidR="00A32F32" w:rsidRDefault="00A32F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F11">
          <w:rPr>
            <w:noProof/>
          </w:rPr>
          <w:t>2</w:t>
        </w:r>
        <w:r>
          <w:fldChar w:fldCharType="end"/>
        </w:r>
      </w:p>
    </w:sdtContent>
  </w:sdt>
  <w:p w:rsidR="00DE1F76" w:rsidRDefault="00DE1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BE9" w:rsidRDefault="005C3BE9" w:rsidP="005C61A5">
      <w:pPr>
        <w:spacing w:after="0" w:line="240" w:lineRule="auto"/>
      </w:pPr>
      <w:r>
        <w:separator/>
      </w:r>
    </w:p>
  </w:footnote>
  <w:footnote w:type="continuationSeparator" w:id="0">
    <w:p w:rsidR="005C3BE9" w:rsidRDefault="005C3BE9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3A" w:rsidRDefault="00E84A3A">
    <w:pPr>
      <w:pStyle w:val="Nagwek"/>
    </w:pPr>
  </w:p>
  <w:p w:rsidR="00E84A3A" w:rsidRDefault="00E84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0D7BDD"/>
    <w:multiLevelType w:val="hybridMultilevel"/>
    <w:tmpl w:val="78885736"/>
    <w:lvl w:ilvl="0" w:tplc="041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1ACE17F3"/>
    <w:multiLevelType w:val="multilevel"/>
    <w:tmpl w:val="F21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275F4"/>
    <w:multiLevelType w:val="multilevel"/>
    <w:tmpl w:val="CF74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3F7CAA"/>
    <w:multiLevelType w:val="hybridMultilevel"/>
    <w:tmpl w:val="97FE8CD8"/>
    <w:lvl w:ilvl="0" w:tplc="A49EB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311BF"/>
    <w:multiLevelType w:val="multilevel"/>
    <w:tmpl w:val="EFDC7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5"/>
    <w:rsid w:val="0000286C"/>
    <w:rsid w:val="0009064A"/>
    <w:rsid w:val="000A2F11"/>
    <w:rsid w:val="000B6567"/>
    <w:rsid w:val="000E14E6"/>
    <w:rsid w:val="00132DF0"/>
    <w:rsid w:val="001B7887"/>
    <w:rsid w:val="001B7E99"/>
    <w:rsid w:val="001D1B47"/>
    <w:rsid w:val="001F0A95"/>
    <w:rsid w:val="00231BBF"/>
    <w:rsid w:val="002830C8"/>
    <w:rsid w:val="00285157"/>
    <w:rsid w:val="002B5B80"/>
    <w:rsid w:val="002E319A"/>
    <w:rsid w:val="002F507C"/>
    <w:rsid w:val="00357D10"/>
    <w:rsid w:val="003755B4"/>
    <w:rsid w:val="003812D2"/>
    <w:rsid w:val="003B5AE6"/>
    <w:rsid w:val="003F6A65"/>
    <w:rsid w:val="0040436B"/>
    <w:rsid w:val="004128AF"/>
    <w:rsid w:val="0045378B"/>
    <w:rsid w:val="004A34D5"/>
    <w:rsid w:val="004B0C86"/>
    <w:rsid w:val="004D64B1"/>
    <w:rsid w:val="004F1517"/>
    <w:rsid w:val="004F7E56"/>
    <w:rsid w:val="00544791"/>
    <w:rsid w:val="00546587"/>
    <w:rsid w:val="00562F17"/>
    <w:rsid w:val="005904A0"/>
    <w:rsid w:val="005B1A37"/>
    <w:rsid w:val="005C3BE9"/>
    <w:rsid w:val="005C61A5"/>
    <w:rsid w:val="00660D60"/>
    <w:rsid w:val="0067535D"/>
    <w:rsid w:val="006E2E32"/>
    <w:rsid w:val="007A1B93"/>
    <w:rsid w:val="007A1CCA"/>
    <w:rsid w:val="007C504D"/>
    <w:rsid w:val="007D73B3"/>
    <w:rsid w:val="007F0651"/>
    <w:rsid w:val="008214FC"/>
    <w:rsid w:val="00853553"/>
    <w:rsid w:val="0087186B"/>
    <w:rsid w:val="0087524A"/>
    <w:rsid w:val="0089114B"/>
    <w:rsid w:val="00897D98"/>
    <w:rsid w:val="008A2E67"/>
    <w:rsid w:val="008C2231"/>
    <w:rsid w:val="008F4315"/>
    <w:rsid w:val="00906323"/>
    <w:rsid w:val="009121A1"/>
    <w:rsid w:val="009318C2"/>
    <w:rsid w:val="00936964"/>
    <w:rsid w:val="00955C60"/>
    <w:rsid w:val="0097515A"/>
    <w:rsid w:val="009C0F8F"/>
    <w:rsid w:val="009C7CDD"/>
    <w:rsid w:val="009D3365"/>
    <w:rsid w:val="00A0365F"/>
    <w:rsid w:val="00A12471"/>
    <w:rsid w:val="00A32F32"/>
    <w:rsid w:val="00A617AB"/>
    <w:rsid w:val="00AA0759"/>
    <w:rsid w:val="00AC0C82"/>
    <w:rsid w:val="00AC2AA2"/>
    <w:rsid w:val="00AC69EC"/>
    <w:rsid w:val="00B80F27"/>
    <w:rsid w:val="00BB444E"/>
    <w:rsid w:val="00BB7474"/>
    <w:rsid w:val="00BD3F65"/>
    <w:rsid w:val="00BE5A6A"/>
    <w:rsid w:val="00BF07E6"/>
    <w:rsid w:val="00BF5AF0"/>
    <w:rsid w:val="00C030E6"/>
    <w:rsid w:val="00C65501"/>
    <w:rsid w:val="00C955B9"/>
    <w:rsid w:val="00D01A57"/>
    <w:rsid w:val="00D63D43"/>
    <w:rsid w:val="00D82618"/>
    <w:rsid w:val="00DB3D8E"/>
    <w:rsid w:val="00DE1F76"/>
    <w:rsid w:val="00E17E3E"/>
    <w:rsid w:val="00E60B2F"/>
    <w:rsid w:val="00E6595B"/>
    <w:rsid w:val="00E84A3A"/>
    <w:rsid w:val="00EB7027"/>
    <w:rsid w:val="00F0309C"/>
    <w:rsid w:val="00F416CA"/>
    <w:rsid w:val="00FA34BF"/>
    <w:rsid w:val="00FC553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DAE17"/>
  <w15:docId w15:val="{85331EBA-52C5-4C8E-87D7-111F2E50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515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318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18</cp:revision>
  <cp:lastPrinted>2022-07-07T11:44:00Z</cp:lastPrinted>
  <dcterms:created xsi:type="dcterms:W3CDTF">2022-06-27T07:04:00Z</dcterms:created>
  <dcterms:modified xsi:type="dcterms:W3CDTF">2022-07-07T12:08:00Z</dcterms:modified>
</cp:coreProperties>
</file>